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5234" w14:textId="77777777" w:rsidR="00DD1641" w:rsidRDefault="001A272B">
      <w:pPr>
        <w:rPr>
          <w:color w:val="000000"/>
          <w:sz w:val="22"/>
          <w:szCs w:val="22"/>
        </w:rPr>
      </w:pPr>
      <w:r>
        <w:rPr>
          <w:color w:val="000000"/>
          <w:sz w:val="22"/>
          <w:szCs w:val="22"/>
          <w:highlight w:val="yellow"/>
        </w:rPr>
        <w:t>DATE,</w:t>
      </w:r>
      <w:r>
        <w:rPr>
          <w:color w:val="000000"/>
          <w:sz w:val="22"/>
          <w:szCs w:val="22"/>
        </w:rPr>
        <w:t xml:space="preserve"> </w:t>
      </w:r>
      <w:r>
        <w:rPr>
          <w:color w:val="000000"/>
          <w:sz w:val="22"/>
          <w:szCs w:val="22"/>
          <w:highlight w:val="yellow"/>
        </w:rPr>
        <w:t>2020</w:t>
      </w:r>
    </w:p>
    <w:p w14:paraId="2E8B5235" w14:textId="77777777" w:rsidR="00DD1641" w:rsidRDefault="00DD1641">
      <w:pPr>
        <w:rPr>
          <w:color w:val="000000"/>
          <w:sz w:val="22"/>
          <w:szCs w:val="22"/>
        </w:rPr>
      </w:pPr>
    </w:p>
    <w:p w14:paraId="2E8B5236" w14:textId="77777777" w:rsidR="00DD1641" w:rsidRDefault="001A272B">
      <w:pPr>
        <w:rPr>
          <w:color w:val="000000"/>
          <w:sz w:val="22"/>
          <w:szCs w:val="22"/>
        </w:rPr>
      </w:pPr>
      <w:r>
        <w:rPr>
          <w:color w:val="000000"/>
          <w:sz w:val="22"/>
          <w:szCs w:val="22"/>
        </w:rPr>
        <w:t>The Honorable Reginald Jones-Sawyer</w:t>
      </w:r>
    </w:p>
    <w:p w14:paraId="2E8B5237" w14:textId="77777777" w:rsidR="00DD1641" w:rsidRDefault="001A272B">
      <w:pPr>
        <w:rPr>
          <w:color w:val="000000"/>
          <w:sz w:val="22"/>
          <w:szCs w:val="22"/>
          <w:highlight w:val="white"/>
        </w:rPr>
      </w:pPr>
      <w:r>
        <w:rPr>
          <w:color w:val="000000"/>
          <w:sz w:val="22"/>
          <w:szCs w:val="22"/>
        </w:rPr>
        <w:t>Chair, Assembly Committee on Public Safety</w:t>
      </w:r>
      <w:r>
        <w:rPr>
          <w:color w:val="000000"/>
          <w:sz w:val="22"/>
          <w:szCs w:val="22"/>
        </w:rPr>
        <w:br/>
        <w:t xml:space="preserve">California State Capitol, </w:t>
      </w:r>
      <w:r>
        <w:rPr>
          <w:color w:val="000000"/>
          <w:sz w:val="22"/>
          <w:szCs w:val="22"/>
          <w:highlight w:val="white"/>
        </w:rPr>
        <w:t>Room 2117</w:t>
      </w:r>
    </w:p>
    <w:p w14:paraId="2E8B5238" w14:textId="77777777" w:rsidR="00DD1641" w:rsidRDefault="001A272B">
      <w:pPr>
        <w:rPr>
          <w:color w:val="000000"/>
          <w:sz w:val="22"/>
          <w:szCs w:val="22"/>
        </w:rPr>
      </w:pPr>
      <w:r>
        <w:rPr>
          <w:color w:val="000000"/>
          <w:sz w:val="22"/>
          <w:szCs w:val="22"/>
          <w:highlight w:val="white"/>
        </w:rPr>
        <w:t>PO Box 942849</w:t>
      </w:r>
      <w:r>
        <w:rPr>
          <w:color w:val="000000"/>
          <w:sz w:val="22"/>
          <w:szCs w:val="22"/>
          <w:highlight w:val="white"/>
        </w:rPr>
        <w:br/>
        <w:t>Sacramento, CA 94249-0059</w:t>
      </w:r>
    </w:p>
    <w:p w14:paraId="2E8B5239" w14:textId="77777777" w:rsidR="00DD1641" w:rsidRDefault="00DD1641">
      <w:pPr>
        <w:rPr>
          <w:color w:val="000000"/>
          <w:sz w:val="22"/>
          <w:szCs w:val="22"/>
        </w:rPr>
      </w:pPr>
    </w:p>
    <w:p w14:paraId="2E8B523A" w14:textId="77777777" w:rsidR="00DD1641" w:rsidRDefault="001A272B">
      <w:pPr>
        <w:rPr>
          <w:b/>
          <w:color w:val="000000"/>
          <w:sz w:val="22"/>
          <w:szCs w:val="22"/>
        </w:rPr>
      </w:pPr>
      <w:r>
        <w:rPr>
          <w:b/>
          <w:color w:val="000000"/>
          <w:sz w:val="22"/>
          <w:szCs w:val="22"/>
        </w:rPr>
        <w:t>RE: </w:t>
      </w:r>
      <w:r>
        <w:rPr>
          <w:b/>
          <w:sz w:val="22"/>
          <w:szCs w:val="22"/>
        </w:rPr>
        <w:t>AB 1007</w:t>
      </w:r>
      <w:r>
        <w:rPr>
          <w:b/>
          <w:color w:val="000000"/>
          <w:sz w:val="22"/>
          <w:szCs w:val="22"/>
        </w:rPr>
        <w:t xml:space="preserve"> (Jones-Sawyer) — Support – </w:t>
      </w:r>
      <w:r>
        <w:rPr>
          <w:b/>
          <w:sz w:val="22"/>
          <w:szCs w:val="22"/>
        </w:rPr>
        <w:t>Promoting Reinvestment and Oversight Measures for Individual Success and Empowerment (P.R.O.M.I.S.E.) Act</w:t>
      </w:r>
      <w:r>
        <w:rPr>
          <w:b/>
          <w:color w:val="000000"/>
          <w:sz w:val="22"/>
          <w:szCs w:val="22"/>
        </w:rPr>
        <w:t xml:space="preserve"> </w:t>
      </w:r>
    </w:p>
    <w:p w14:paraId="2E8B523B" w14:textId="77777777" w:rsidR="00DD1641" w:rsidRDefault="00DD1641">
      <w:pPr>
        <w:rPr>
          <w:color w:val="000000"/>
          <w:sz w:val="22"/>
          <w:szCs w:val="22"/>
        </w:rPr>
      </w:pPr>
    </w:p>
    <w:p w14:paraId="2E8B523C" w14:textId="77777777" w:rsidR="00DD1641" w:rsidRDefault="001A272B">
      <w:pPr>
        <w:spacing w:after="160"/>
        <w:rPr>
          <w:color w:val="000000"/>
          <w:sz w:val="22"/>
          <w:szCs w:val="22"/>
        </w:rPr>
      </w:pPr>
      <w:r>
        <w:rPr>
          <w:color w:val="000000"/>
          <w:sz w:val="22"/>
          <w:szCs w:val="22"/>
        </w:rPr>
        <w:t xml:space="preserve">Dear </w:t>
      </w:r>
      <w:proofErr w:type="spellStart"/>
      <w:r>
        <w:rPr>
          <w:color w:val="000000"/>
          <w:sz w:val="22"/>
          <w:szCs w:val="22"/>
        </w:rPr>
        <w:t>Assemblymember</w:t>
      </w:r>
      <w:proofErr w:type="spellEnd"/>
      <w:r>
        <w:rPr>
          <w:color w:val="000000"/>
          <w:sz w:val="22"/>
          <w:szCs w:val="22"/>
        </w:rPr>
        <w:t xml:space="preserve"> Jones-Sawyer:</w:t>
      </w:r>
    </w:p>
    <w:p w14:paraId="2E8B523D" w14:textId="61B40F81" w:rsidR="00DD1641" w:rsidRDefault="001A272B">
      <w:pPr>
        <w:spacing w:after="160"/>
        <w:ind w:firstLine="360"/>
        <w:rPr>
          <w:sz w:val="22"/>
          <w:szCs w:val="22"/>
          <w:highlight w:val="white"/>
        </w:rPr>
      </w:pPr>
      <w:r>
        <w:rPr>
          <w:color w:val="000000"/>
          <w:sz w:val="22"/>
          <w:szCs w:val="22"/>
          <w:highlight w:val="yellow"/>
        </w:rPr>
        <w:t>NAME OF YOUR ORGANIZATION</w:t>
      </w:r>
      <w:r>
        <w:rPr>
          <w:color w:val="000000"/>
          <w:sz w:val="22"/>
          <w:szCs w:val="22"/>
        </w:rPr>
        <w:t xml:space="preserve"> is proud to support </w:t>
      </w:r>
      <w:r>
        <w:rPr>
          <w:sz w:val="22"/>
          <w:szCs w:val="22"/>
        </w:rPr>
        <w:t>AB 1007</w:t>
      </w:r>
      <w:r>
        <w:rPr>
          <w:color w:val="000000"/>
          <w:sz w:val="22"/>
          <w:szCs w:val="22"/>
        </w:rPr>
        <w:t>, which will amend California’s Juvenile Justice Crim</w:t>
      </w:r>
      <w:r w:rsidR="00E80D6F">
        <w:rPr>
          <w:color w:val="000000"/>
          <w:sz w:val="22"/>
          <w:szCs w:val="22"/>
        </w:rPr>
        <w:t>e</w:t>
      </w:r>
      <w:r>
        <w:rPr>
          <w:color w:val="000000"/>
          <w:sz w:val="22"/>
          <w:szCs w:val="22"/>
        </w:rPr>
        <w:t xml:space="preserve"> Prevention Act (JJCPA) to ensure </w:t>
      </w:r>
      <w:r>
        <w:rPr>
          <w:sz w:val="22"/>
          <w:szCs w:val="22"/>
        </w:rPr>
        <w:t xml:space="preserve">the state effectively invests these hundreds of millions in grant dollars to support youth locally. This bill will ensure </w:t>
      </w:r>
      <w:r>
        <w:rPr>
          <w:color w:val="000000"/>
          <w:sz w:val="22"/>
          <w:szCs w:val="22"/>
        </w:rPr>
        <w:t xml:space="preserve">that youth: (1) Are protected from contact with the juvenile justice system through </w:t>
      </w:r>
      <w:r>
        <w:rPr>
          <w:sz w:val="22"/>
          <w:szCs w:val="22"/>
        </w:rPr>
        <w:t xml:space="preserve">an </w:t>
      </w:r>
      <w:r>
        <w:rPr>
          <w:color w:val="000000"/>
          <w:sz w:val="22"/>
          <w:szCs w:val="22"/>
        </w:rPr>
        <w:t>investment in community-based youth development, prevention, and intervention services; (2) Benefit from improved planning and coordination of youth</w:t>
      </w:r>
      <w:r>
        <w:rPr>
          <w:sz w:val="22"/>
          <w:szCs w:val="22"/>
        </w:rPr>
        <w:t>-serving agencies</w:t>
      </w:r>
      <w:r>
        <w:rPr>
          <w:color w:val="000000"/>
          <w:sz w:val="22"/>
          <w:szCs w:val="22"/>
        </w:rPr>
        <w:t xml:space="preserve"> by local counties, including greater community and youth representation in decision making; and (3) </w:t>
      </w:r>
      <w:r>
        <w:rPr>
          <w:color w:val="000000"/>
          <w:sz w:val="22"/>
          <w:szCs w:val="22"/>
          <w:highlight w:val="white"/>
        </w:rPr>
        <w:t xml:space="preserve">Receive </w:t>
      </w:r>
      <w:r>
        <w:rPr>
          <w:sz w:val="22"/>
          <w:szCs w:val="22"/>
          <w:highlight w:val="white"/>
        </w:rPr>
        <w:t>support</w:t>
      </w:r>
      <w:r>
        <w:rPr>
          <w:color w:val="000000"/>
          <w:sz w:val="22"/>
          <w:szCs w:val="22"/>
          <w:highlight w:val="white"/>
        </w:rPr>
        <w:t xml:space="preserve"> that aligns with best practices by increasing county reporting and state oversight, as recommended in a recent state audit of </w:t>
      </w:r>
      <w:r>
        <w:rPr>
          <w:sz w:val="22"/>
          <w:szCs w:val="22"/>
          <w:highlight w:val="white"/>
        </w:rPr>
        <w:t>JJCPA grant administration</w:t>
      </w:r>
      <w:r>
        <w:rPr>
          <w:color w:val="000000"/>
          <w:sz w:val="22"/>
          <w:szCs w:val="22"/>
          <w:highlight w:val="white"/>
        </w:rPr>
        <w:t>.</w:t>
      </w:r>
      <w:r>
        <w:rPr>
          <w:color w:val="000000"/>
          <w:sz w:val="22"/>
          <w:szCs w:val="22"/>
          <w:highlight w:val="white"/>
          <w:vertAlign w:val="superscript"/>
        </w:rPr>
        <w:footnoteReference w:id="1"/>
      </w:r>
    </w:p>
    <w:p w14:paraId="2E8B523E" w14:textId="77777777" w:rsidR="00DD1641" w:rsidRDefault="001A272B">
      <w:pPr>
        <w:spacing w:after="160"/>
        <w:ind w:firstLine="360"/>
        <w:rPr>
          <w:sz w:val="22"/>
          <w:szCs w:val="22"/>
          <w:highlight w:val="white"/>
        </w:rPr>
      </w:pPr>
      <w:r>
        <w:rPr>
          <w:sz w:val="22"/>
          <w:szCs w:val="22"/>
          <w:highlight w:val="yellow"/>
        </w:rPr>
        <w:t>[Optional: Insert a short paragraph on why this legislation is important to you/your organization.]</w:t>
      </w:r>
    </w:p>
    <w:p w14:paraId="2E8B523F" w14:textId="2FC02D9C" w:rsidR="00DD1641" w:rsidRDefault="001A272B">
      <w:pPr>
        <w:spacing w:after="160"/>
        <w:ind w:firstLine="360"/>
        <w:rPr>
          <w:sz w:val="22"/>
          <w:szCs w:val="22"/>
          <w:highlight w:val="white"/>
        </w:rPr>
      </w:pPr>
      <w:r>
        <w:rPr>
          <w:color w:val="000000"/>
          <w:sz w:val="22"/>
          <w:szCs w:val="22"/>
          <w:highlight w:val="white"/>
        </w:rPr>
        <w:t>AB 1007 addresses chronic shortcomings of JJCPA implementation and</w:t>
      </w:r>
      <w:r>
        <w:rPr>
          <w:sz w:val="22"/>
          <w:szCs w:val="22"/>
          <w:highlight w:val="white"/>
        </w:rPr>
        <w:t xml:space="preserve"> will</w:t>
      </w:r>
      <w:r>
        <w:rPr>
          <w:color w:val="000000"/>
          <w:sz w:val="22"/>
          <w:szCs w:val="22"/>
          <w:highlight w:val="white"/>
        </w:rPr>
        <w:t xml:space="preserve"> </w:t>
      </w:r>
      <w:r>
        <w:rPr>
          <w:sz w:val="22"/>
          <w:szCs w:val="22"/>
          <w:highlight w:val="white"/>
        </w:rPr>
        <w:t>distribute</w:t>
      </w:r>
      <w:r>
        <w:rPr>
          <w:color w:val="000000"/>
          <w:sz w:val="22"/>
          <w:szCs w:val="22"/>
          <w:highlight w:val="white"/>
        </w:rPr>
        <w:t xml:space="preserve"> grant funds</w:t>
      </w:r>
      <w:r>
        <w:rPr>
          <w:sz w:val="22"/>
          <w:szCs w:val="22"/>
          <w:highlight w:val="white"/>
        </w:rPr>
        <w:t xml:space="preserve">, </w:t>
      </w:r>
      <w:r>
        <w:rPr>
          <w:color w:val="000000"/>
          <w:sz w:val="22"/>
          <w:szCs w:val="22"/>
          <w:highlight w:val="white"/>
        </w:rPr>
        <w:t>serv</w:t>
      </w:r>
      <w:r>
        <w:rPr>
          <w:sz w:val="22"/>
          <w:szCs w:val="22"/>
          <w:highlight w:val="white"/>
        </w:rPr>
        <w:t>ing</w:t>
      </w:r>
      <w:r>
        <w:rPr>
          <w:color w:val="000000"/>
          <w:sz w:val="22"/>
          <w:szCs w:val="22"/>
          <w:highlight w:val="white"/>
        </w:rPr>
        <w:t xml:space="preserve"> as a stimulus for </w:t>
      </w:r>
      <w:r>
        <w:rPr>
          <w:sz w:val="22"/>
          <w:szCs w:val="22"/>
          <w:highlight w:val="white"/>
        </w:rPr>
        <w:t>community-based organizations (CBOs) and public health and education agencies</w:t>
      </w:r>
      <w:r>
        <w:rPr>
          <w:color w:val="000000"/>
          <w:sz w:val="22"/>
          <w:szCs w:val="22"/>
          <w:highlight w:val="white"/>
        </w:rPr>
        <w:t xml:space="preserve">. Specifically, </w:t>
      </w:r>
      <w:r>
        <w:rPr>
          <w:sz w:val="22"/>
          <w:szCs w:val="22"/>
          <w:highlight w:val="white"/>
        </w:rPr>
        <w:t>AB 1007</w:t>
      </w:r>
      <w:r>
        <w:rPr>
          <w:color w:val="000000"/>
          <w:sz w:val="22"/>
          <w:szCs w:val="22"/>
          <w:highlight w:val="white"/>
        </w:rPr>
        <w:t xml:space="preserve"> will ensure that 95 percent of JJCPA funds are distributed to </w:t>
      </w:r>
      <w:r>
        <w:rPr>
          <w:sz w:val="22"/>
          <w:szCs w:val="22"/>
          <w:highlight w:val="white"/>
        </w:rPr>
        <w:t>CBO</w:t>
      </w:r>
      <w:r>
        <w:rPr>
          <w:color w:val="000000"/>
          <w:sz w:val="22"/>
          <w:szCs w:val="22"/>
          <w:highlight w:val="white"/>
        </w:rPr>
        <w:t xml:space="preserve">s and/or non-law enforcement public agencies providing youth development services in schools and/or communities. </w:t>
      </w:r>
      <w:r>
        <w:rPr>
          <w:sz w:val="22"/>
          <w:szCs w:val="22"/>
          <w:highlight w:val="white"/>
        </w:rPr>
        <w:t>AB 1007</w:t>
      </w:r>
      <w:r>
        <w:rPr>
          <w:color w:val="000000"/>
          <w:sz w:val="22"/>
          <w:szCs w:val="22"/>
          <w:highlight w:val="white"/>
        </w:rPr>
        <w:t xml:space="preserve"> </w:t>
      </w:r>
      <w:r>
        <w:rPr>
          <w:sz w:val="22"/>
          <w:szCs w:val="22"/>
          <w:highlight w:val="white"/>
        </w:rPr>
        <w:t>requires</w:t>
      </w:r>
      <w:r>
        <w:rPr>
          <w:color w:val="000000"/>
          <w:sz w:val="22"/>
          <w:szCs w:val="22"/>
          <w:highlight w:val="white"/>
        </w:rPr>
        <w:t xml:space="preserve"> that </w:t>
      </w:r>
      <w:r>
        <w:rPr>
          <w:sz w:val="22"/>
          <w:szCs w:val="22"/>
          <w:highlight w:val="white"/>
        </w:rPr>
        <w:t>JJCPA-funded</w:t>
      </w:r>
      <w:r>
        <w:rPr>
          <w:color w:val="000000"/>
          <w:sz w:val="22"/>
          <w:szCs w:val="22"/>
          <w:highlight w:val="white"/>
        </w:rPr>
        <w:t xml:space="preserve"> programs </w:t>
      </w:r>
      <w:r>
        <w:rPr>
          <w:sz w:val="22"/>
          <w:szCs w:val="22"/>
          <w:highlight w:val="white"/>
        </w:rPr>
        <w:t>be</w:t>
      </w:r>
      <w:r>
        <w:rPr>
          <w:color w:val="000000"/>
          <w:sz w:val="22"/>
          <w:szCs w:val="22"/>
          <w:highlight w:val="white"/>
        </w:rPr>
        <w:t xml:space="preserve"> modeled on trauma-informed and youth development approaches</w:t>
      </w:r>
      <w:r>
        <w:rPr>
          <w:sz w:val="22"/>
          <w:szCs w:val="22"/>
          <w:highlight w:val="white"/>
        </w:rPr>
        <w:t xml:space="preserve">. Additionally, the bill improves </w:t>
      </w:r>
      <w:r>
        <w:rPr>
          <w:color w:val="000000"/>
          <w:sz w:val="22"/>
          <w:szCs w:val="22"/>
          <w:highlight w:val="white"/>
        </w:rPr>
        <w:t>reporting</w:t>
      </w:r>
      <w:r>
        <w:rPr>
          <w:sz w:val="22"/>
          <w:szCs w:val="22"/>
          <w:highlight w:val="white"/>
        </w:rPr>
        <w:t xml:space="preserve"> </w:t>
      </w:r>
      <w:r w:rsidR="004B2AE8">
        <w:rPr>
          <w:sz w:val="22"/>
          <w:szCs w:val="22"/>
          <w:highlight w:val="white"/>
        </w:rPr>
        <w:t xml:space="preserve">requirements </w:t>
      </w:r>
      <w:r>
        <w:rPr>
          <w:sz w:val="22"/>
          <w:szCs w:val="22"/>
          <w:highlight w:val="white"/>
        </w:rPr>
        <w:t xml:space="preserve">to assess each </w:t>
      </w:r>
      <w:r>
        <w:rPr>
          <w:color w:val="000000"/>
          <w:sz w:val="22"/>
          <w:szCs w:val="22"/>
          <w:highlight w:val="white"/>
        </w:rPr>
        <w:t>program</w:t>
      </w:r>
      <w:r>
        <w:rPr>
          <w:sz w:val="22"/>
          <w:szCs w:val="22"/>
          <w:highlight w:val="white"/>
        </w:rPr>
        <w:t>’s</w:t>
      </w:r>
      <w:r>
        <w:rPr>
          <w:color w:val="000000"/>
          <w:sz w:val="22"/>
          <w:szCs w:val="22"/>
          <w:highlight w:val="white"/>
        </w:rPr>
        <w:t xml:space="preserve"> effectiveness</w:t>
      </w:r>
      <w:r>
        <w:rPr>
          <w:sz w:val="22"/>
          <w:szCs w:val="22"/>
          <w:highlight w:val="white"/>
        </w:rPr>
        <w:t>.</w:t>
      </w:r>
      <w:r>
        <w:rPr>
          <w:color w:val="000000"/>
          <w:sz w:val="22"/>
          <w:szCs w:val="22"/>
          <w:highlight w:val="white"/>
        </w:rPr>
        <w:t xml:space="preserve"> Under </w:t>
      </w:r>
      <w:r>
        <w:rPr>
          <w:sz w:val="22"/>
          <w:szCs w:val="22"/>
          <w:highlight w:val="white"/>
        </w:rPr>
        <w:t>AB 1007,</w:t>
      </w:r>
      <w:r>
        <w:rPr>
          <w:color w:val="000000"/>
          <w:sz w:val="22"/>
          <w:szCs w:val="22"/>
          <w:highlight w:val="white"/>
        </w:rPr>
        <w:t xml:space="preserve"> counties</w:t>
      </w:r>
      <w:r>
        <w:rPr>
          <w:sz w:val="22"/>
          <w:szCs w:val="22"/>
          <w:highlight w:val="white"/>
        </w:rPr>
        <w:t xml:space="preserve">’ </w:t>
      </w:r>
      <w:r>
        <w:rPr>
          <w:color w:val="000000"/>
          <w:sz w:val="22"/>
          <w:szCs w:val="22"/>
          <w:highlight w:val="white"/>
        </w:rPr>
        <w:t xml:space="preserve">Juvenile Justice </w:t>
      </w:r>
      <w:r>
        <w:rPr>
          <w:sz w:val="22"/>
          <w:szCs w:val="22"/>
          <w:highlight w:val="white"/>
        </w:rPr>
        <w:t>Coordinating</w:t>
      </w:r>
      <w:r>
        <w:rPr>
          <w:color w:val="000000"/>
          <w:sz w:val="22"/>
          <w:szCs w:val="22"/>
          <w:highlight w:val="white"/>
        </w:rPr>
        <w:t xml:space="preserve"> </w:t>
      </w:r>
      <w:r>
        <w:rPr>
          <w:sz w:val="22"/>
          <w:szCs w:val="22"/>
          <w:highlight w:val="white"/>
        </w:rPr>
        <w:t xml:space="preserve">Councils, which decide how JJCPA funds are allocated, </w:t>
      </w:r>
      <w:r>
        <w:rPr>
          <w:color w:val="000000"/>
          <w:sz w:val="22"/>
          <w:szCs w:val="22"/>
          <w:highlight w:val="white"/>
        </w:rPr>
        <w:t>wil</w:t>
      </w:r>
      <w:r>
        <w:rPr>
          <w:sz w:val="22"/>
          <w:szCs w:val="22"/>
          <w:highlight w:val="white"/>
        </w:rPr>
        <w:t xml:space="preserve">l </w:t>
      </w:r>
      <w:r>
        <w:rPr>
          <w:color w:val="000000"/>
          <w:sz w:val="22"/>
          <w:szCs w:val="22"/>
          <w:highlight w:val="white"/>
        </w:rPr>
        <w:t xml:space="preserve">have a balanced representation of government and community </w:t>
      </w:r>
      <w:r>
        <w:rPr>
          <w:sz w:val="22"/>
          <w:szCs w:val="22"/>
          <w:highlight w:val="white"/>
        </w:rPr>
        <w:t>stakeholde</w:t>
      </w:r>
      <w:r>
        <w:rPr>
          <w:color w:val="000000"/>
          <w:sz w:val="22"/>
          <w:szCs w:val="22"/>
          <w:highlight w:val="white"/>
        </w:rPr>
        <w:t>rs.</w:t>
      </w:r>
    </w:p>
    <w:p w14:paraId="2E8B5240" w14:textId="77777777" w:rsidR="00DD1641" w:rsidRDefault="001A272B">
      <w:pPr>
        <w:spacing w:after="160"/>
        <w:ind w:firstLine="360"/>
        <w:rPr>
          <w:sz w:val="22"/>
          <w:szCs w:val="22"/>
        </w:rPr>
      </w:pPr>
      <w:r>
        <w:rPr>
          <w:sz w:val="22"/>
          <w:szCs w:val="22"/>
          <w:highlight w:val="white"/>
        </w:rPr>
        <w:t>Black, Brown, and Indigenous youth bear the brunt of our state’s most harmful justice system investments. As a state, we must confront the legacy of policy choices that have resulted in disparate impacts on youth of color and unconscionable inequities in our communities. With AB 1007, we can ensure that state funds no longer prop up a system that has consistently failed youth and communities of color. Instead, we can invest in youth development and equity.</w:t>
      </w:r>
    </w:p>
    <w:p w14:paraId="2E8B5241" w14:textId="77777777" w:rsidR="00DD1641" w:rsidRDefault="001A272B">
      <w:pPr>
        <w:spacing w:after="160"/>
        <w:ind w:firstLine="360"/>
        <w:rPr>
          <w:color w:val="000000"/>
          <w:sz w:val="22"/>
          <w:szCs w:val="22"/>
        </w:rPr>
      </w:pPr>
      <w:r>
        <w:rPr>
          <w:sz w:val="22"/>
          <w:szCs w:val="22"/>
        </w:rPr>
        <w:t xml:space="preserve">The JJCPA grant program was originally created by </w:t>
      </w:r>
      <w:r>
        <w:rPr>
          <w:color w:val="000000"/>
          <w:sz w:val="22"/>
          <w:szCs w:val="22"/>
        </w:rPr>
        <w:t xml:space="preserve">the Schiff-Cardenas Crime Prevention Act (2000), </w:t>
      </w:r>
      <w:r>
        <w:rPr>
          <w:sz w:val="22"/>
          <w:szCs w:val="22"/>
        </w:rPr>
        <w:t xml:space="preserve">which </w:t>
      </w:r>
      <w:r>
        <w:rPr>
          <w:color w:val="000000"/>
          <w:sz w:val="22"/>
          <w:szCs w:val="22"/>
        </w:rPr>
        <w:t>authorized non-competitive funding for county juvenile justice programs and designated the Board of Corrections</w:t>
      </w:r>
      <w:r>
        <w:rPr>
          <w:sz w:val="22"/>
          <w:szCs w:val="22"/>
        </w:rPr>
        <w:t xml:space="preserve">, now the Board of State and Community Corrections (BSCC), </w:t>
      </w:r>
      <w:r>
        <w:rPr>
          <w:color w:val="000000"/>
          <w:sz w:val="22"/>
          <w:szCs w:val="22"/>
        </w:rPr>
        <w:t xml:space="preserve">as the administrator of funding. </w:t>
      </w:r>
      <w:r>
        <w:rPr>
          <w:sz w:val="22"/>
          <w:szCs w:val="22"/>
        </w:rPr>
        <w:t xml:space="preserve">Community leaders originally conceived of the JJCPA as a response to the over-incarceration </w:t>
      </w:r>
      <w:r>
        <w:rPr>
          <w:sz w:val="22"/>
          <w:szCs w:val="22"/>
        </w:rPr>
        <w:lastRenderedPageBreak/>
        <w:t>of youth in California and tough-on-crime measures</w:t>
      </w:r>
      <w:r>
        <w:rPr>
          <w:sz w:val="22"/>
          <w:szCs w:val="22"/>
          <w:vertAlign w:val="superscript"/>
        </w:rPr>
        <w:footnoteReference w:id="2"/>
      </w:r>
      <w:r>
        <w:rPr>
          <w:sz w:val="22"/>
          <w:szCs w:val="22"/>
        </w:rPr>
        <w:t xml:space="preserve"> that came with high social and fiscal costs. According to the original author and former </w:t>
      </w:r>
      <w:proofErr w:type="spellStart"/>
      <w:r>
        <w:rPr>
          <w:sz w:val="22"/>
          <w:szCs w:val="22"/>
        </w:rPr>
        <w:t>Assemblymember</w:t>
      </w:r>
      <w:proofErr w:type="spellEnd"/>
      <w:r>
        <w:rPr>
          <w:sz w:val="22"/>
          <w:szCs w:val="22"/>
        </w:rPr>
        <w:t xml:space="preserve"> Cardenas, “The </w:t>
      </w:r>
      <w:r>
        <w:rPr>
          <w:color w:val="000000"/>
          <w:sz w:val="22"/>
          <w:szCs w:val="22"/>
        </w:rPr>
        <w:t xml:space="preserve">JJCPA </w:t>
      </w:r>
      <w:r>
        <w:rPr>
          <w:sz w:val="22"/>
          <w:szCs w:val="22"/>
        </w:rPr>
        <w:t>funds were</w:t>
      </w:r>
      <w:r>
        <w:rPr>
          <w:color w:val="000000"/>
          <w:sz w:val="22"/>
          <w:szCs w:val="22"/>
        </w:rPr>
        <w:t xml:space="preserve"> intended to reduce youth involvement in the justice system, ensure that there is a diverse membership in the </w:t>
      </w:r>
      <w:r>
        <w:rPr>
          <w:sz w:val="22"/>
          <w:szCs w:val="22"/>
        </w:rPr>
        <w:t>JJCC</w:t>
      </w:r>
      <w:r>
        <w:rPr>
          <w:color w:val="000000"/>
          <w:sz w:val="22"/>
          <w:szCs w:val="22"/>
        </w:rPr>
        <w:t xml:space="preserve"> in counties for decision-making, and a meaningful performance assessment."</w:t>
      </w:r>
      <w:r>
        <w:rPr>
          <w:sz w:val="22"/>
          <w:szCs w:val="22"/>
          <w:vertAlign w:val="superscript"/>
        </w:rPr>
        <w:footnoteReference w:id="3"/>
      </w:r>
    </w:p>
    <w:p w14:paraId="2E8B5242" w14:textId="77777777" w:rsidR="00DD1641" w:rsidRDefault="001A272B">
      <w:pPr>
        <w:widowControl w:val="0"/>
        <w:spacing w:after="160"/>
        <w:ind w:firstLine="360"/>
        <w:rPr>
          <w:sz w:val="22"/>
          <w:szCs w:val="22"/>
        </w:rPr>
      </w:pPr>
      <w:r>
        <w:rPr>
          <w:sz w:val="22"/>
          <w:szCs w:val="22"/>
        </w:rPr>
        <w:t xml:space="preserve">Unfortunately, JJCPA </w:t>
      </w:r>
      <w:r>
        <w:rPr>
          <w:color w:val="000000"/>
          <w:sz w:val="22"/>
          <w:szCs w:val="22"/>
        </w:rPr>
        <w:t>funds have been distributed with little local or state oversight</w:t>
      </w:r>
      <w:r>
        <w:rPr>
          <w:sz w:val="22"/>
          <w:szCs w:val="22"/>
        </w:rPr>
        <w:t xml:space="preserve">, resulting in poor spending decisions. </w:t>
      </w:r>
      <w:proofErr w:type="gramStart"/>
      <w:r>
        <w:rPr>
          <w:sz w:val="22"/>
          <w:szCs w:val="22"/>
        </w:rPr>
        <w:t>The</w:t>
      </w:r>
      <w:r>
        <w:rPr>
          <w:color w:val="000000"/>
          <w:sz w:val="22"/>
          <w:szCs w:val="22"/>
        </w:rPr>
        <w:t xml:space="preserve"> majority of</w:t>
      </w:r>
      <w:proofErr w:type="gramEnd"/>
      <w:r>
        <w:rPr>
          <w:color w:val="000000"/>
          <w:sz w:val="22"/>
          <w:szCs w:val="22"/>
        </w:rPr>
        <w:t xml:space="preserve"> funds have been “distributed” by county </w:t>
      </w:r>
      <w:r>
        <w:rPr>
          <w:sz w:val="22"/>
          <w:szCs w:val="22"/>
        </w:rPr>
        <w:t>p</w:t>
      </w:r>
      <w:r>
        <w:rPr>
          <w:color w:val="000000"/>
          <w:sz w:val="22"/>
          <w:szCs w:val="22"/>
        </w:rPr>
        <w:t xml:space="preserve">robation </w:t>
      </w:r>
      <w:r>
        <w:rPr>
          <w:sz w:val="22"/>
          <w:szCs w:val="22"/>
        </w:rPr>
        <w:t>d</w:t>
      </w:r>
      <w:r>
        <w:rPr>
          <w:color w:val="000000"/>
          <w:sz w:val="22"/>
          <w:szCs w:val="22"/>
        </w:rPr>
        <w:t xml:space="preserve">epartments </w:t>
      </w:r>
      <w:r>
        <w:rPr>
          <w:sz w:val="22"/>
          <w:szCs w:val="22"/>
        </w:rPr>
        <w:t>for</w:t>
      </w:r>
      <w:r>
        <w:rPr>
          <w:color w:val="000000"/>
          <w:sz w:val="22"/>
          <w:szCs w:val="22"/>
        </w:rPr>
        <w:t xml:space="preserve"> the</w:t>
      </w:r>
      <w:r>
        <w:rPr>
          <w:sz w:val="22"/>
          <w:szCs w:val="22"/>
        </w:rPr>
        <w:t>ir own staffing</w:t>
      </w:r>
      <w:r>
        <w:rPr>
          <w:color w:val="000000"/>
          <w:sz w:val="22"/>
          <w:szCs w:val="22"/>
        </w:rPr>
        <w:t>, or to other law enforcement agencies, running counter to the bill</w:t>
      </w:r>
      <w:r>
        <w:rPr>
          <w:sz w:val="22"/>
          <w:szCs w:val="22"/>
        </w:rPr>
        <w:t>’s collaborative goals.</w:t>
      </w:r>
      <w:r>
        <w:rPr>
          <w:color w:val="000000"/>
          <w:sz w:val="22"/>
          <w:szCs w:val="22"/>
        </w:rPr>
        <w:t xml:space="preserve"> </w:t>
      </w:r>
      <w:r>
        <w:rPr>
          <w:sz w:val="22"/>
          <w:szCs w:val="22"/>
        </w:rPr>
        <w:t>In some cases, counties have used JJCPA grants to implement h</w:t>
      </w:r>
      <w:r>
        <w:rPr>
          <w:color w:val="000000"/>
          <w:sz w:val="22"/>
          <w:szCs w:val="22"/>
        </w:rPr>
        <w:t xml:space="preserve">armful </w:t>
      </w:r>
      <w:r>
        <w:rPr>
          <w:sz w:val="22"/>
          <w:szCs w:val="22"/>
        </w:rPr>
        <w:t>“</w:t>
      </w:r>
      <w:r>
        <w:rPr>
          <w:color w:val="000000"/>
          <w:sz w:val="22"/>
          <w:szCs w:val="22"/>
        </w:rPr>
        <w:t>voluntary probation</w:t>
      </w:r>
      <w:r>
        <w:rPr>
          <w:sz w:val="22"/>
          <w:szCs w:val="22"/>
        </w:rPr>
        <w:t>”</w:t>
      </w:r>
      <w:r>
        <w:rPr>
          <w:color w:val="000000"/>
          <w:sz w:val="22"/>
          <w:szCs w:val="22"/>
        </w:rPr>
        <w:t xml:space="preserve"> programs</w:t>
      </w:r>
      <w:r>
        <w:rPr>
          <w:sz w:val="22"/>
          <w:szCs w:val="22"/>
        </w:rPr>
        <w:t xml:space="preserve">, which </w:t>
      </w:r>
      <w:r>
        <w:rPr>
          <w:color w:val="000000"/>
          <w:sz w:val="22"/>
          <w:szCs w:val="22"/>
        </w:rPr>
        <w:t>impos</w:t>
      </w:r>
      <w:r>
        <w:rPr>
          <w:sz w:val="22"/>
          <w:szCs w:val="22"/>
        </w:rPr>
        <w:t>e</w:t>
      </w:r>
      <w:r>
        <w:rPr>
          <w:color w:val="000000"/>
          <w:sz w:val="22"/>
          <w:szCs w:val="22"/>
        </w:rPr>
        <w:t xml:space="preserve"> </w:t>
      </w:r>
      <w:r>
        <w:rPr>
          <w:sz w:val="22"/>
          <w:szCs w:val="22"/>
        </w:rPr>
        <w:t xml:space="preserve">invasive </w:t>
      </w:r>
      <w:r>
        <w:rPr>
          <w:color w:val="000000"/>
          <w:sz w:val="22"/>
          <w:szCs w:val="22"/>
        </w:rPr>
        <w:t xml:space="preserve">probation </w:t>
      </w:r>
      <w:r>
        <w:rPr>
          <w:sz w:val="22"/>
          <w:szCs w:val="22"/>
        </w:rPr>
        <w:t xml:space="preserve">conditions </w:t>
      </w:r>
      <w:r>
        <w:rPr>
          <w:color w:val="000000"/>
          <w:sz w:val="22"/>
          <w:szCs w:val="22"/>
        </w:rPr>
        <w:t>o</w:t>
      </w:r>
      <w:r>
        <w:rPr>
          <w:sz w:val="22"/>
          <w:szCs w:val="22"/>
        </w:rPr>
        <w:t>n</w:t>
      </w:r>
      <w:r>
        <w:rPr>
          <w:color w:val="000000"/>
          <w:sz w:val="22"/>
          <w:szCs w:val="22"/>
        </w:rPr>
        <w:t xml:space="preserve"> you</w:t>
      </w:r>
      <w:r>
        <w:rPr>
          <w:sz w:val="22"/>
          <w:szCs w:val="22"/>
        </w:rPr>
        <w:t>th</w:t>
      </w:r>
      <w:r>
        <w:rPr>
          <w:color w:val="000000"/>
          <w:sz w:val="22"/>
          <w:szCs w:val="22"/>
        </w:rPr>
        <w:t xml:space="preserve"> who have n</w:t>
      </w:r>
      <w:r>
        <w:rPr>
          <w:sz w:val="22"/>
          <w:szCs w:val="22"/>
        </w:rPr>
        <w:t>ot</w:t>
      </w:r>
      <w:r>
        <w:rPr>
          <w:color w:val="000000"/>
          <w:sz w:val="22"/>
          <w:szCs w:val="22"/>
        </w:rPr>
        <w:t xml:space="preserve"> been arrested for </w:t>
      </w:r>
      <w:r>
        <w:rPr>
          <w:sz w:val="22"/>
          <w:szCs w:val="22"/>
        </w:rPr>
        <w:t>any</w:t>
      </w:r>
      <w:r>
        <w:rPr>
          <w:color w:val="000000"/>
          <w:sz w:val="22"/>
          <w:szCs w:val="22"/>
        </w:rPr>
        <w:t xml:space="preserve"> crime</w:t>
      </w:r>
      <w:r>
        <w:rPr>
          <w:sz w:val="22"/>
          <w:szCs w:val="22"/>
        </w:rPr>
        <w:t>.</w:t>
      </w:r>
      <w:r>
        <w:rPr>
          <w:sz w:val="22"/>
          <w:szCs w:val="22"/>
          <w:vertAlign w:val="superscript"/>
        </w:rPr>
        <w:footnoteReference w:id="4"/>
      </w:r>
      <w:r>
        <w:rPr>
          <w:sz w:val="22"/>
          <w:szCs w:val="22"/>
        </w:rPr>
        <w:t xml:space="preserve"> Law enforcement contact and probation involvement – including the “net-widening” effects</w:t>
      </w:r>
      <w:r>
        <w:rPr>
          <w:sz w:val="22"/>
          <w:szCs w:val="22"/>
          <w:vertAlign w:val="superscript"/>
        </w:rPr>
        <w:footnoteReference w:id="5"/>
      </w:r>
      <w:r>
        <w:rPr>
          <w:sz w:val="22"/>
          <w:szCs w:val="22"/>
        </w:rPr>
        <w:t xml:space="preserve"> of excessive supervision – does more harm than good.</w:t>
      </w:r>
    </w:p>
    <w:p w14:paraId="2E8B5243" w14:textId="77777777" w:rsidR="00DD1641" w:rsidRDefault="001A272B">
      <w:pPr>
        <w:widowControl w:val="0"/>
        <w:spacing w:after="160"/>
        <w:ind w:firstLine="360"/>
        <w:rPr>
          <w:sz w:val="22"/>
          <w:szCs w:val="22"/>
        </w:rPr>
      </w:pPr>
      <w:r>
        <w:rPr>
          <w:sz w:val="22"/>
          <w:szCs w:val="22"/>
        </w:rPr>
        <w:t>The recent state audit verifies these long-held concerns, as insufficient planning and reporting has led to irresponsible spending. The audit finds that counties maintain outdated spending plans and that reports do not adequately assess program effectiveness. Many counties left mandatory stakeholder seats vacant on their Juvenile Justice Coordinating Council, with 20 percent of all California counties lacking a JJCC entirely during the audit review period. In Fiscal Year 2017–18, four of the five counties spent over 75 percent of their JJCPA funds on probation departments despite massive declines in youth contact with probation,</w:t>
      </w:r>
      <w:r>
        <w:rPr>
          <w:sz w:val="22"/>
          <w:szCs w:val="22"/>
          <w:vertAlign w:val="superscript"/>
        </w:rPr>
        <w:footnoteReference w:id="6"/>
      </w:r>
      <w:r>
        <w:rPr>
          <w:sz w:val="22"/>
          <w:szCs w:val="22"/>
        </w:rPr>
        <w:t xml:space="preserve"> leaving youths’ needs unmet when they could be best served in the community. </w:t>
      </w:r>
    </w:p>
    <w:p w14:paraId="2E8B5244" w14:textId="77777777" w:rsidR="00DD1641" w:rsidRDefault="001A272B" w:rsidP="00E85439">
      <w:pPr>
        <w:spacing w:after="160"/>
        <w:ind w:firstLine="360"/>
        <w:rPr>
          <w:sz w:val="22"/>
          <w:szCs w:val="22"/>
        </w:rPr>
      </w:pPr>
      <w:r>
        <w:rPr>
          <w:sz w:val="22"/>
          <w:szCs w:val="22"/>
        </w:rPr>
        <w:t>AB 1007</w:t>
      </w:r>
      <w:r>
        <w:rPr>
          <w:color w:val="000000"/>
          <w:sz w:val="22"/>
          <w:szCs w:val="22"/>
        </w:rPr>
        <w:t xml:space="preserve"> supports youth development and counters the historic harm of youth criminalization throughout California. It is time to invest in a new vision for California</w:t>
      </w:r>
      <w:r>
        <w:rPr>
          <w:sz w:val="22"/>
          <w:szCs w:val="22"/>
        </w:rPr>
        <w:t>’s young people</w:t>
      </w:r>
      <w:r>
        <w:rPr>
          <w:color w:val="000000"/>
          <w:sz w:val="22"/>
          <w:szCs w:val="22"/>
        </w:rPr>
        <w:t xml:space="preserve"> – one that recognizes that </w:t>
      </w:r>
      <w:r>
        <w:rPr>
          <w:sz w:val="22"/>
          <w:szCs w:val="22"/>
        </w:rPr>
        <w:t xml:space="preserve">health, education, and </w:t>
      </w:r>
      <w:r>
        <w:rPr>
          <w:color w:val="000000"/>
          <w:sz w:val="22"/>
          <w:szCs w:val="22"/>
        </w:rPr>
        <w:t>community-</w:t>
      </w:r>
      <w:r>
        <w:rPr>
          <w:sz w:val="22"/>
          <w:szCs w:val="22"/>
        </w:rPr>
        <w:t>based</w:t>
      </w:r>
      <w:r>
        <w:rPr>
          <w:color w:val="000000"/>
          <w:sz w:val="22"/>
          <w:szCs w:val="22"/>
        </w:rPr>
        <w:t xml:space="preserve"> services are essential in preventing youth</w:t>
      </w:r>
      <w:r>
        <w:rPr>
          <w:sz w:val="22"/>
          <w:szCs w:val="22"/>
        </w:rPr>
        <w:t xml:space="preserve">s’ exposure to violence and </w:t>
      </w:r>
      <w:r>
        <w:rPr>
          <w:color w:val="000000"/>
          <w:sz w:val="22"/>
          <w:szCs w:val="22"/>
        </w:rPr>
        <w:t>inv</w:t>
      </w:r>
      <w:r>
        <w:rPr>
          <w:sz w:val="22"/>
          <w:szCs w:val="22"/>
        </w:rPr>
        <w:t>olvement in the justice system.</w:t>
      </w:r>
    </w:p>
    <w:p w14:paraId="2E8B5245" w14:textId="77777777" w:rsidR="00DD1641" w:rsidRDefault="001A272B" w:rsidP="00E85439">
      <w:pPr>
        <w:spacing w:after="160"/>
        <w:ind w:firstLine="360"/>
        <w:rPr>
          <w:sz w:val="22"/>
          <w:szCs w:val="22"/>
        </w:rPr>
      </w:pPr>
      <w:r>
        <w:rPr>
          <w:color w:val="000000"/>
          <w:sz w:val="22"/>
          <w:szCs w:val="22"/>
        </w:rPr>
        <w:t>For these reasons, we</w:t>
      </w:r>
      <w:r>
        <w:rPr>
          <w:sz w:val="22"/>
          <w:szCs w:val="22"/>
        </w:rPr>
        <w:t xml:space="preserve"> strongly support</w:t>
      </w:r>
      <w:r>
        <w:rPr>
          <w:color w:val="000000"/>
          <w:sz w:val="22"/>
          <w:szCs w:val="22"/>
        </w:rPr>
        <w:t xml:space="preserve"> </w:t>
      </w:r>
      <w:r>
        <w:rPr>
          <w:sz w:val="22"/>
          <w:szCs w:val="22"/>
        </w:rPr>
        <w:t>AB 1007</w:t>
      </w:r>
      <w:r>
        <w:rPr>
          <w:color w:val="000000"/>
          <w:sz w:val="22"/>
          <w:szCs w:val="22"/>
        </w:rPr>
        <w:t>.</w:t>
      </w:r>
      <w:r>
        <w:rPr>
          <w:sz w:val="22"/>
          <w:szCs w:val="22"/>
        </w:rPr>
        <w:br/>
      </w:r>
      <w:r>
        <w:rPr>
          <w:sz w:val="22"/>
          <w:szCs w:val="22"/>
        </w:rPr>
        <w:br/>
      </w:r>
      <w:r>
        <w:rPr>
          <w:color w:val="000000"/>
          <w:sz w:val="22"/>
          <w:szCs w:val="22"/>
        </w:rPr>
        <w:br/>
        <w:t>Sincerely,</w:t>
      </w:r>
    </w:p>
    <w:p w14:paraId="2E8B5246" w14:textId="77777777" w:rsidR="00DD1641" w:rsidRDefault="00DD1641">
      <w:pPr>
        <w:rPr>
          <w:sz w:val="22"/>
          <w:szCs w:val="22"/>
        </w:rPr>
      </w:pPr>
    </w:p>
    <w:p w14:paraId="2E8B5247" w14:textId="77777777" w:rsidR="00DD1641" w:rsidRDefault="001A272B">
      <w:pPr>
        <w:rPr>
          <w:color w:val="000000"/>
          <w:sz w:val="22"/>
          <w:szCs w:val="22"/>
          <w:highlight w:val="yellow"/>
        </w:rPr>
      </w:pPr>
      <w:r>
        <w:rPr>
          <w:color w:val="000000"/>
          <w:sz w:val="22"/>
          <w:szCs w:val="22"/>
          <w:highlight w:val="yellow"/>
        </w:rPr>
        <w:t>NAME</w:t>
      </w:r>
      <w:r>
        <w:rPr>
          <w:sz w:val="22"/>
          <w:szCs w:val="22"/>
          <w:highlight w:val="yellow"/>
        </w:rPr>
        <w:t xml:space="preserve">, </w:t>
      </w:r>
      <w:r>
        <w:rPr>
          <w:color w:val="000000"/>
          <w:sz w:val="22"/>
          <w:szCs w:val="22"/>
          <w:highlight w:val="yellow"/>
        </w:rPr>
        <w:t>TITLE</w:t>
      </w:r>
    </w:p>
    <w:p w14:paraId="2E8B5248" w14:textId="77777777" w:rsidR="00DD1641" w:rsidRDefault="001A272B">
      <w:pPr>
        <w:rPr>
          <w:sz w:val="22"/>
          <w:szCs w:val="22"/>
          <w:highlight w:val="yellow"/>
        </w:rPr>
      </w:pPr>
      <w:r>
        <w:rPr>
          <w:sz w:val="22"/>
          <w:szCs w:val="22"/>
          <w:highlight w:val="yellow"/>
        </w:rPr>
        <w:t>ORGANIZATION</w:t>
      </w:r>
      <w:r>
        <w:rPr>
          <w:sz w:val="22"/>
          <w:szCs w:val="22"/>
          <w:highlight w:val="yellow"/>
        </w:rPr>
        <w:br/>
      </w:r>
    </w:p>
    <w:p w14:paraId="2E8B5249" w14:textId="77777777" w:rsidR="00DD1641" w:rsidRDefault="00DD1641">
      <w:pPr>
        <w:rPr>
          <w:sz w:val="22"/>
          <w:szCs w:val="22"/>
          <w:highlight w:val="yellow"/>
        </w:rPr>
      </w:pPr>
    </w:p>
    <w:p w14:paraId="2E8B524A" w14:textId="77777777" w:rsidR="00DD1641" w:rsidRDefault="001A272B">
      <w:pPr>
        <w:rPr>
          <w:sz w:val="22"/>
          <w:szCs w:val="22"/>
        </w:rPr>
      </w:pPr>
      <w:r>
        <w:rPr>
          <w:sz w:val="22"/>
          <w:szCs w:val="22"/>
        </w:rPr>
        <w:t xml:space="preserve">cc: </w:t>
      </w:r>
      <w:r>
        <w:rPr>
          <w:sz w:val="22"/>
          <w:szCs w:val="22"/>
        </w:rPr>
        <w:tab/>
        <w:t xml:space="preserve">Michael Lucien, Office of </w:t>
      </w:r>
      <w:proofErr w:type="spellStart"/>
      <w:r>
        <w:rPr>
          <w:sz w:val="22"/>
          <w:szCs w:val="22"/>
        </w:rPr>
        <w:t>Assemblymember</w:t>
      </w:r>
      <w:proofErr w:type="spellEnd"/>
      <w:r>
        <w:rPr>
          <w:sz w:val="22"/>
          <w:szCs w:val="22"/>
        </w:rPr>
        <w:t xml:space="preserve"> Jones Sawyer (michael.lucien@asm.ca.gov)</w:t>
      </w:r>
    </w:p>
    <w:p w14:paraId="2E8B524C" w14:textId="5C0906D0" w:rsidR="00DD1641" w:rsidRPr="004B2AE8" w:rsidRDefault="001A272B">
      <w:pPr>
        <w:rPr>
          <w:sz w:val="22"/>
          <w:szCs w:val="22"/>
        </w:rPr>
      </w:pPr>
      <w:r>
        <w:rPr>
          <w:sz w:val="22"/>
          <w:szCs w:val="22"/>
        </w:rPr>
        <w:tab/>
        <w:t>Renee Menart, Center on Juvenile and Criminal Justice (renee@cjcj.org)</w:t>
      </w:r>
    </w:p>
    <w:sectPr w:rsidR="00DD1641" w:rsidRPr="004B2AE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E1E8" w14:textId="77777777" w:rsidR="001A272B" w:rsidRDefault="001A272B">
      <w:r>
        <w:separator/>
      </w:r>
    </w:p>
  </w:endnote>
  <w:endnote w:type="continuationSeparator" w:id="0">
    <w:p w14:paraId="455C2695" w14:textId="77777777" w:rsidR="001A272B" w:rsidRDefault="001A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524E" w14:textId="77777777" w:rsidR="00DD1641" w:rsidRDefault="00DD1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1CB0" w14:textId="77777777" w:rsidR="001A272B" w:rsidRDefault="001A272B">
      <w:r>
        <w:separator/>
      </w:r>
    </w:p>
  </w:footnote>
  <w:footnote w:type="continuationSeparator" w:id="0">
    <w:p w14:paraId="6657740F" w14:textId="77777777" w:rsidR="001A272B" w:rsidRDefault="001A272B">
      <w:r>
        <w:continuationSeparator/>
      </w:r>
    </w:p>
  </w:footnote>
  <w:footnote w:id="1">
    <w:p w14:paraId="2E8B524F" w14:textId="77777777" w:rsidR="00DD1641" w:rsidRDefault="001A272B">
      <w:pPr>
        <w:rPr>
          <w:sz w:val="18"/>
          <w:szCs w:val="18"/>
        </w:rPr>
      </w:pPr>
      <w:r>
        <w:rPr>
          <w:rStyle w:val="FootnoteReference"/>
        </w:rPr>
        <w:footnoteRef/>
      </w:r>
      <w:r>
        <w:rPr>
          <w:sz w:val="18"/>
          <w:szCs w:val="18"/>
        </w:rPr>
        <w:t xml:space="preserve"> California State Auditor. (2020). Juvenile Justice Crime Prevention Act: Weak Oversight Has Hindered Its Meaningful Implementation. At: http://auditor.ca.gov/reports/2019-116/summary.html.</w:t>
      </w:r>
    </w:p>
  </w:footnote>
  <w:footnote w:id="2">
    <w:p w14:paraId="2E8B5250" w14:textId="77777777" w:rsidR="00DD1641" w:rsidRDefault="001A272B">
      <w:pPr>
        <w:rPr>
          <w:sz w:val="18"/>
          <w:szCs w:val="18"/>
        </w:rPr>
      </w:pPr>
      <w:r>
        <w:rPr>
          <w:rStyle w:val="FootnoteReference"/>
        </w:rPr>
        <w:footnoteRef/>
      </w:r>
      <w:r>
        <w:rPr>
          <w:sz w:val="18"/>
          <w:szCs w:val="18"/>
        </w:rPr>
        <w:t xml:space="preserve"> For example, Proposition 21 (2000) increased penalties for youth in the justice system, including incarceration, and placed youth at greater risk of transfer to adult court. See: Legislative Analyst’s Office (LAO). (2000). Proposition 21. At: https://lao.ca.gov/ballot/2000/21_03_2000.html.</w:t>
      </w:r>
    </w:p>
  </w:footnote>
  <w:footnote w:id="3">
    <w:p w14:paraId="2E8B5251" w14:textId="77777777" w:rsidR="00DD1641" w:rsidRDefault="001A272B">
      <w:pPr>
        <w:rPr>
          <w:sz w:val="18"/>
          <w:szCs w:val="18"/>
        </w:rPr>
      </w:pPr>
      <w:r>
        <w:rPr>
          <w:rStyle w:val="FootnoteReference"/>
        </w:rPr>
        <w:footnoteRef/>
      </w:r>
      <w:r>
        <w:rPr>
          <w:sz w:val="18"/>
          <w:szCs w:val="18"/>
        </w:rPr>
        <w:t xml:space="preserve"> Congressman Cardenas details the JJCPA’s intent in a letter sent to the Joint Legislative Audit Committee on June 14, 2019.</w:t>
      </w:r>
    </w:p>
  </w:footnote>
  <w:footnote w:id="4">
    <w:p w14:paraId="2E8B5252" w14:textId="77777777" w:rsidR="00DD1641" w:rsidRDefault="001A272B">
      <w:pPr>
        <w:rPr>
          <w:sz w:val="18"/>
          <w:szCs w:val="18"/>
        </w:rPr>
      </w:pPr>
      <w:r>
        <w:rPr>
          <w:rStyle w:val="FootnoteReference"/>
        </w:rPr>
        <w:footnoteRef/>
      </w:r>
      <w:r>
        <w:rPr>
          <w:sz w:val="18"/>
          <w:szCs w:val="18"/>
        </w:rPr>
        <w:t xml:space="preserve"> ‘Voluntary probation’ programs have come under harsh criticism due to questionable legality and ethicality. For an example, see Sigma Beta Xi v. County of Riverside (2018). At: https://www.aclusocal.org/en/cases/sigma-beta-xi-v-county-riverside.</w:t>
      </w:r>
    </w:p>
  </w:footnote>
  <w:footnote w:id="5">
    <w:p w14:paraId="2E8B5253" w14:textId="77777777" w:rsidR="00DD1641" w:rsidRDefault="001A272B">
      <w:pPr>
        <w:rPr>
          <w:sz w:val="18"/>
          <w:szCs w:val="18"/>
        </w:rPr>
      </w:pPr>
      <w:r>
        <w:rPr>
          <w:rStyle w:val="FootnoteReference"/>
        </w:rPr>
        <w:footnoteRef/>
      </w:r>
      <w:r>
        <w:rPr>
          <w:sz w:val="18"/>
          <w:szCs w:val="18"/>
        </w:rPr>
        <w:t xml:space="preserve"> “Net-widening” refers to administrative or practical changes that result in more individuals being controlled by the justice system. See Leone, M. (2002). At: https://sk.sagepub.com/reference/crimepunishment/n286.xml.</w:t>
      </w:r>
    </w:p>
  </w:footnote>
  <w:footnote w:id="6">
    <w:p w14:paraId="2E8B5254" w14:textId="094DF3EC" w:rsidR="00DD1641" w:rsidRDefault="001A272B">
      <w:pPr>
        <w:rPr>
          <w:sz w:val="18"/>
          <w:szCs w:val="18"/>
        </w:rPr>
      </w:pPr>
      <w:r>
        <w:rPr>
          <w:rStyle w:val="FootnoteReference"/>
        </w:rPr>
        <w:footnoteRef/>
      </w:r>
      <w:r>
        <w:rPr>
          <w:sz w:val="18"/>
          <w:szCs w:val="18"/>
        </w:rPr>
        <w:t xml:space="preserve"> Arrests of youth under 18 in California declined by over </w:t>
      </w:r>
      <w:r w:rsidR="00E85439">
        <w:rPr>
          <w:sz w:val="18"/>
          <w:szCs w:val="18"/>
        </w:rPr>
        <w:t>80</w:t>
      </w:r>
      <w:r>
        <w:rPr>
          <w:sz w:val="18"/>
          <w:szCs w:val="18"/>
        </w:rPr>
        <w:t>% between 2000 and 2018. See California Department of Justice (DOJ). (2019). Open Justice: Arrests. At: https://openjustice.doj.ca.gov/exploration/crime-statistics/arrests.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524D" w14:textId="77777777" w:rsidR="00DD1641" w:rsidRDefault="001A272B">
    <w:r>
      <w:rPr>
        <w:rFonts w:ascii="Arial Narrow" w:eastAsia="Arial Narrow" w:hAnsi="Arial Narrow" w:cs="Arial Narrow"/>
        <w:b/>
        <w:sz w:val="22"/>
        <w:szCs w:val="22"/>
        <w:highlight w:val="yellow"/>
      </w:rPr>
      <w:t>COPY ONTO YOUR ORGANIZATION’S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41"/>
    <w:rsid w:val="001A272B"/>
    <w:rsid w:val="004B2AE8"/>
    <w:rsid w:val="00DD1641"/>
    <w:rsid w:val="00E80D6F"/>
    <w:rsid w:val="00E8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5234"/>
  <w15:docId w15:val="{C5D1F86E-6D32-49A1-A0DD-BCCEBA4D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10DFC"/>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B10DFC"/>
  </w:style>
  <w:style w:type="character" w:customStyle="1" w:styleId="FootnoteTextChar">
    <w:name w:val="Footnote Text Char"/>
    <w:basedOn w:val="DefaultParagraphFont"/>
    <w:link w:val="FootnoteText"/>
    <w:uiPriority w:val="99"/>
    <w:rsid w:val="00B10DFC"/>
  </w:style>
  <w:style w:type="character" w:styleId="FootnoteReference">
    <w:name w:val="footnote reference"/>
    <w:basedOn w:val="DefaultParagraphFont"/>
    <w:uiPriority w:val="99"/>
    <w:unhideWhenUsed/>
    <w:rsid w:val="00B10DF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wNQTkQZgAv4XtLFhPrOPYosfg==">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Renee Menart</cp:lastModifiedBy>
  <cp:revision>4</cp:revision>
  <dcterms:created xsi:type="dcterms:W3CDTF">2020-06-17T16:08:00Z</dcterms:created>
  <dcterms:modified xsi:type="dcterms:W3CDTF">2020-07-01T05:43:00Z</dcterms:modified>
</cp:coreProperties>
</file>